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Sad Blue Eyes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He grew up in a house in the valley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With a daddy who was one long cigarette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And his momma walked out on a Friday night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With a man that she’d just met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He liked walking the blacktop streets in the rain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In the dark when the city was dead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The machine gone asleep he could hear himself think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And he liked what he saw in his head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Her sad blue eyes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Her sad blue eyes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He found work at the yard picking apart cars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Out on Springfield and Lariat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He likes a girl with scars on her arms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It proves she ain’t seen what she wants to yet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With her sad blue eyes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Don’t you see it boy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Everything’s a circle in this town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And the best you give can fix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What cannot be found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Behind her sad blue eyes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Behind her sad blue eyes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Behind her sad blue eyes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He put his head to the stone working all day long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Saving up those dollars and dimes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He’s got his eye on a ring at the Oakwood Mall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And he likes how the diamond shines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There’s a quarter acre lot with a trailer on the spot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If he can work a deal out on time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And they park across the street where they dream and they drink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And he says I’m gonna make you mine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And your sad blue eyes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Don’t you see it boy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Everything’s a circle in this town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And the best you give can fix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What cannot be found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Behind her sad blue eyes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Behind her sad blue eyes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Behind her sad blue eyes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When they’re naked at night she whispers to him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 know you can make it alright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But the damage moves in like a ghost from within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And a storm grows behind her sad blue eyes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When they’re naked night she whispers to him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 know you can make it alright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But the damage moves in like a ghost from within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And a storm grows behind her sad blue eyes 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